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Default="002309DA">
      <w:pPr>
        <w:pStyle w:val="ConsPlusNormal"/>
        <w:jc w:val="right"/>
        <w:outlineLvl w:val="1"/>
      </w:pPr>
      <w:bookmarkStart w:id="0" w:name="_GoBack"/>
      <w:bookmarkEnd w:id="0"/>
      <w:r>
        <w:t xml:space="preserve">Приложение </w:t>
      </w:r>
      <w:r w:rsidR="00CB677B">
        <w:t>2</w:t>
      </w:r>
    </w:p>
    <w:p w:rsidR="002309DA" w:rsidRDefault="002309DA">
      <w:pPr>
        <w:pStyle w:val="ConsPlusNormal"/>
        <w:jc w:val="right"/>
      </w:pPr>
      <w:r>
        <w:t>к государственной программе "Развитие</w:t>
      </w:r>
    </w:p>
    <w:p w:rsidR="002309DA" w:rsidRDefault="002309DA">
      <w:pPr>
        <w:pStyle w:val="ConsPlusNormal"/>
        <w:jc w:val="right"/>
      </w:pPr>
      <w:r>
        <w:t>образования и науки Брянской области"</w:t>
      </w:r>
    </w:p>
    <w:p w:rsidR="002309DA" w:rsidRDefault="002309DA">
      <w:pPr>
        <w:pStyle w:val="ConsPlusNormal"/>
        <w:jc w:val="both"/>
      </w:pPr>
    </w:p>
    <w:p w:rsidR="002309DA" w:rsidRDefault="002309DA">
      <w:pPr>
        <w:pStyle w:val="ConsPlusTitle"/>
        <w:jc w:val="center"/>
      </w:pPr>
      <w:bookmarkStart w:id="1" w:name="P12534"/>
      <w:bookmarkEnd w:id="1"/>
      <w:r>
        <w:t>Мероприятия государственной программы (результаты</w:t>
      </w:r>
    </w:p>
    <w:p w:rsidR="002309DA" w:rsidRDefault="002309DA">
      <w:pPr>
        <w:pStyle w:val="ConsPlusTitle"/>
        <w:jc w:val="center"/>
      </w:pPr>
      <w:r>
        <w:t>региональных проектов), реализуемые в рамках национальных</w:t>
      </w:r>
    </w:p>
    <w:p w:rsidR="002309DA" w:rsidRDefault="002309DA">
      <w:pPr>
        <w:pStyle w:val="ConsPlusTitle"/>
        <w:jc w:val="center"/>
      </w:pPr>
      <w:r>
        <w:t>проектов "Образование" и "Демография"</w:t>
      </w:r>
    </w:p>
    <w:p w:rsidR="002309DA" w:rsidRDefault="002309DA">
      <w:pPr>
        <w:spacing w:after="1"/>
      </w:pPr>
    </w:p>
    <w:p w:rsidR="002309DA" w:rsidRDefault="002309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914"/>
        <w:gridCol w:w="1077"/>
        <w:gridCol w:w="784"/>
        <w:gridCol w:w="784"/>
        <w:gridCol w:w="784"/>
        <w:gridCol w:w="784"/>
        <w:gridCol w:w="784"/>
        <w:gridCol w:w="784"/>
        <w:gridCol w:w="794"/>
      </w:tblGrid>
      <w:tr w:rsidR="002309DA">
        <w:tc>
          <w:tcPr>
            <w:tcW w:w="604" w:type="dxa"/>
            <w:vMerge w:val="restart"/>
          </w:tcPr>
          <w:p w:rsidR="002309DA" w:rsidRDefault="002309DA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14" w:type="dxa"/>
            <w:vMerge w:val="restart"/>
          </w:tcPr>
          <w:p w:rsidR="002309DA" w:rsidRDefault="002309DA">
            <w:pPr>
              <w:pStyle w:val="ConsPlusNormal"/>
              <w:jc w:val="center"/>
            </w:pPr>
            <w:r>
              <w:t>Наименование региональных проектов, мероприятий</w:t>
            </w:r>
          </w:p>
        </w:tc>
        <w:tc>
          <w:tcPr>
            <w:tcW w:w="1077" w:type="dxa"/>
            <w:vMerge w:val="restart"/>
          </w:tcPr>
          <w:p w:rsidR="002309DA" w:rsidRDefault="002309DA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4704" w:type="dxa"/>
            <w:gridSpan w:val="6"/>
          </w:tcPr>
          <w:p w:rsidR="002309DA" w:rsidRDefault="002309DA">
            <w:pPr>
              <w:pStyle w:val="ConsPlusNormal"/>
              <w:jc w:val="center"/>
            </w:pPr>
            <w:r>
              <w:t>Результаты (нарастающим итогом)</w:t>
            </w:r>
          </w:p>
        </w:tc>
        <w:tc>
          <w:tcPr>
            <w:tcW w:w="794" w:type="dxa"/>
            <w:vMerge w:val="restart"/>
          </w:tcPr>
          <w:p w:rsidR="002309DA" w:rsidRDefault="002309DA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2309DA">
        <w:tc>
          <w:tcPr>
            <w:tcW w:w="604" w:type="dxa"/>
            <w:vMerge/>
          </w:tcPr>
          <w:p w:rsidR="002309DA" w:rsidRDefault="002309DA"/>
        </w:tc>
        <w:tc>
          <w:tcPr>
            <w:tcW w:w="2914" w:type="dxa"/>
            <w:vMerge/>
          </w:tcPr>
          <w:p w:rsidR="002309DA" w:rsidRDefault="002309DA"/>
        </w:tc>
        <w:tc>
          <w:tcPr>
            <w:tcW w:w="1077" w:type="dxa"/>
            <w:vMerge/>
          </w:tcPr>
          <w:p w:rsidR="002309DA" w:rsidRDefault="002309DA"/>
        </w:tc>
        <w:tc>
          <w:tcPr>
            <w:tcW w:w="784" w:type="dxa"/>
          </w:tcPr>
          <w:p w:rsidR="002309DA" w:rsidRDefault="002309D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84" w:type="dxa"/>
          </w:tcPr>
          <w:p w:rsidR="002309DA" w:rsidRDefault="002309D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84" w:type="dxa"/>
          </w:tcPr>
          <w:p w:rsidR="002309DA" w:rsidRDefault="002309D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84" w:type="dxa"/>
          </w:tcPr>
          <w:p w:rsidR="002309DA" w:rsidRDefault="002309D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84" w:type="dxa"/>
          </w:tcPr>
          <w:p w:rsidR="002309DA" w:rsidRDefault="002309DA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84" w:type="dxa"/>
          </w:tcPr>
          <w:p w:rsidR="002309DA" w:rsidRDefault="002309D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94" w:type="dxa"/>
            <w:vMerge/>
          </w:tcPr>
          <w:p w:rsidR="002309DA" w:rsidRDefault="002309DA"/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9489" w:type="dxa"/>
            <w:gridSpan w:val="9"/>
          </w:tcPr>
          <w:p w:rsidR="002309DA" w:rsidRDefault="002309DA">
            <w:pPr>
              <w:pStyle w:val="ConsPlusNormal"/>
            </w:pPr>
            <w:r>
              <w:t>Региональный проект "Современная школа"</w:t>
            </w: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В Брянской области обеспечена возможность изучать предметную область "Технология" и другие предметные области на базе организаций, имеющих высокооснащенные ученико-места, в т.ч. детских технопарков "Кванториум"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Поддержка образования для детей с ограниченными возможностями здоровья. Обновление материально-технической базы в организациях Брянской области,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 xml:space="preserve">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</w:t>
            </w:r>
            <w:r>
              <w:lastRenderedPageBreak/>
              <w:t>местности и малых городах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тыс. единиц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0,042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0,117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0,204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0,204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0,204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1.4.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В Брянской области для учителей предметной области "Технология" действует система повышения квалификации на базе детских технопарков "Кванториум", организаций, осуществляющих образовательную деятельность по образовательным программам среднего профессионального и высшего образования, предприятий реального сектора экономики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В Брянской области обеспечено внедрение примерных основных общеобразовательных программ, разработанных в рамках федерального проекта, в общеобразовательные организации Брянской области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Не менее 70% обучающихся общеобразовательных организаций вовлечены в различные формы сопровождения и наставничества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Не менее 70% организаций, реализующих программы начального, основного и среднего общего образования, реализуют общеобразовательные программы в сетевой форме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 xml:space="preserve">Не менее чем в 70% общеобразовательных организаций реализуются механизмы вовлечения общественно-деловых объединений и участия представителей работодателей в принятии решений по вопросам управления развитием общеобразовательной </w:t>
            </w:r>
            <w:r>
              <w:lastRenderedPageBreak/>
              <w:t>организации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процент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  <w:outlineLvl w:val="2"/>
            </w:pPr>
            <w:r>
              <w:lastRenderedPageBreak/>
              <w:t>2.</w:t>
            </w:r>
          </w:p>
        </w:tc>
        <w:tc>
          <w:tcPr>
            <w:tcW w:w="9489" w:type="dxa"/>
            <w:gridSpan w:val="9"/>
            <w:vAlign w:val="center"/>
          </w:tcPr>
          <w:p w:rsidR="002309DA" w:rsidRDefault="002309DA">
            <w:pPr>
              <w:pStyle w:val="ConsPlusNormal"/>
            </w:pPr>
            <w:r>
              <w:t>Региональный проект "Успех каждого ребенка"</w:t>
            </w: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Созданы новые места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тысяча единиц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0,812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0,812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0,812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0,812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0,812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Не менее чем 0,095 млн. детей приняли участие в открытых онлайн-уроках, реализуемых с учетом опыта цикла открытых уроков "Проектория", направленных на раннюю профориентацию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миллион человек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0,0350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</w:pPr>
            <w:r>
              <w:t>0,0483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0,0830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0,0830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0,0830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0,0950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Созданы региональные центры выявления, поддержки и развития способностей и талантов у детей и молодежи с учетом опыта Образовательного фонда "Талант и успех"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Для 1,8 тыс. детей в не менее чем в 33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В Брянской области внедрена целевая модель развития региональной системы дополнительного образования детей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В Брянской области созданы детские технопарки "Кванториум"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В Брянской области созданы мобильные технопарки "Кванториум" (для детей, проживающих в сельской местности и малых городах)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2.8.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 xml:space="preserve">Не менее 70% детей Брянской области с ограниченными </w:t>
            </w:r>
            <w:r>
              <w:lastRenderedPageBreak/>
              <w:t>возможностями здоровья осваивают дополнительные общеобразовательные программы, в том числе с использованием дистанционных технологий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процент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2.9.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Создано не менее 1 Центра, реализующего дополнительные общеобразовательные программы, в организациях, осуществляющих образовательную деятельность по образовательным программам высшего образования, расположенных на территории Брянской области, в том числе участвующих в создании научных и научно-образовательных центров мирового уровня или обеспечивающих деятельность центров компетенций Национальной технологической инициативы, с охватом не менее 400 детей в год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2.10.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В Брянской области внедрены методические рекомендации по механизмам вовлечения общественно-деловых объединений и участия представителей работодателей в принятии решений по вопросам управления развитием образовательной организации, в том числе обновлении образовательных программ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2.11.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 xml:space="preserve">Не менее чем 70% обучающихся организаций, осуществляющих образовательную деятельность по дополнительным общеобразовательным программам и расположенных в Брянской </w:t>
            </w:r>
            <w:r>
              <w:lastRenderedPageBreak/>
              <w:t>области, вовлечены в различные формы наставничества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процент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2.12.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К 2024 году обучающимся 5 - 11 классов в Брянской области предоставлены возможности освоения основных общеобразовательных программ по индивидуальному учебному плану, в том числе в сетевой форме, с зачетом результатов освоения ими дополнительных общеобразовательных программ и программ профессионального обучения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  <w:outlineLvl w:val="2"/>
            </w:pPr>
            <w:r>
              <w:t>3.</w:t>
            </w:r>
          </w:p>
        </w:tc>
        <w:tc>
          <w:tcPr>
            <w:tcW w:w="9489" w:type="dxa"/>
            <w:gridSpan w:val="9"/>
            <w:vAlign w:val="center"/>
          </w:tcPr>
          <w:p w:rsidR="002309DA" w:rsidRDefault="002309DA">
            <w:pPr>
              <w:pStyle w:val="ConsPlusNormal"/>
            </w:pPr>
            <w:r>
              <w:t>Региональный проект "Поддержка семей, имеющих детей"</w:t>
            </w: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Оказано не менее 0,061 млн.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Брянской области, в том числе с привлечением НКО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миллион единиц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0,041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0,061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0,061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0,061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0,061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0,061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  <w:outlineLvl w:val="2"/>
            </w:pPr>
            <w:r>
              <w:t>4.</w:t>
            </w:r>
          </w:p>
        </w:tc>
        <w:tc>
          <w:tcPr>
            <w:tcW w:w="9489" w:type="dxa"/>
            <w:gridSpan w:val="9"/>
            <w:vAlign w:val="center"/>
          </w:tcPr>
          <w:p w:rsidR="002309DA" w:rsidRDefault="002309DA">
            <w:pPr>
              <w:pStyle w:val="ConsPlusNormal"/>
            </w:pPr>
            <w:r>
              <w:t>Региональный проект "Цифровая образовательная среда"</w:t>
            </w: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Созданы центры цифрового образования для детей "IT-куб"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 xml:space="preserve">100% образовательных организаций Брянской </w:t>
            </w:r>
            <w:r>
              <w:lastRenderedPageBreak/>
              <w:t>области, реализующих основные и (или) дополнительные общеобразовательные программы, обновили информационное наполнение и функциональные возможности открытых и общедоступных информационных ресурсов (официальных сайтов в сети "Интернет")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процент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4.4.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Для не менее 6,6 тыс. детей в 25% общеобразовательных организаций Брянской области внедрены в образовательную программу современные цифровые технологии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тысяча человек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  <w:outlineLvl w:val="2"/>
            </w:pPr>
            <w:r>
              <w:t>5.</w:t>
            </w:r>
          </w:p>
        </w:tc>
        <w:tc>
          <w:tcPr>
            <w:tcW w:w="9489" w:type="dxa"/>
            <w:gridSpan w:val="9"/>
            <w:vAlign w:val="center"/>
          </w:tcPr>
          <w:p w:rsidR="002309DA" w:rsidRDefault="002309DA">
            <w:pPr>
              <w:pStyle w:val="ConsPlusNormal"/>
            </w:pPr>
            <w:r>
              <w:t>Региональный проект "Учитель будущего"</w:t>
            </w: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В Брянской области внедрена система аттестации руководителей общеобразовательных организаций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В Брянской области обеспечена возможность для непрерывного и планомерного повышения квалификации педагогических работников, в том числе на основе использования современных цифровых технологий, формирования и участия в профессиональных ассоциациях, программах обмена опытом и лучшими практиками, привлечения работодателей к дополнительному профессиональному образованию педагогических работников, в том числе в форме стажировок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 xml:space="preserve">Не менее 50% педагогических работников системы общего, дополнительного и профессионального </w:t>
            </w:r>
            <w:r>
              <w:lastRenderedPageBreak/>
              <w:t>образования повысили уровень профессионального мастерства в форматах непрерывного образования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процент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5.4.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Не менее 10% педагогических работников систем общего образования и дополнительного образования детей прошли добровольную независимую оценку профессиональной квалификации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5.5.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Создание в Брянской области сети центров непрерывного повышения профессионального мастерства педагогических работников и центра оценки профессионального мастерства и квалификации педагогов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5.6.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Не менее 70% педагогических работников Брянской области в возрасте до 35 лет вовлечены в различные формы поддержки и сопровождения в первые три года работы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  <w:outlineLvl w:val="2"/>
            </w:pPr>
            <w:r>
              <w:t>6.</w:t>
            </w:r>
          </w:p>
        </w:tc>
        <w:tc>
          <w:tcPr>
            <w:tcW w:w="9489" w:type="dxa"/>
            <w:gridSpan w:val="9"/>
            <w:vAlign w:val="center"/>
          </w:tcPr>
          <w:p w:rsidR="002309DA" w:rsidRDefault="002309DA">
            <w:pPr>
              <w:pStyle w:val="ConsPlusNormal"/>
            </w:pPr>
            <w: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Не менее 25% обучающихся организаций, осуществляющих образовательную деятельность по образовательным программам среднего профессионального образования, проходят аттестацию с использованием механизма демонстрационного экзамена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23,4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34,3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38,2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Созданы в Брянской области мастерские, оснащенные современной материально-технической базой по одной из компетенций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6.3.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Создан 1 центр опережающей профессиональной подготовки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В Брянской области внедрены программы профессионального обучения по наиболее востребованным и перспективным профессиям на уровне, соответствующем стандартам "Ворлдскиллс", с учетом продолжительности программ не более 6 месяцев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6.5.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Не менее 70% обучающихся организаций, осуществляющих образовательную деятельность по образовательным программам среднего профессионального образования, вовлечены в различные формы наставничества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6.6.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Не менее 300 преподавателей (мастеров производственного обучения) прошли повышение квалификации по программам, основанным на опыте Союза "Ворлдскиллс Россия", из них не менее 100 преподавателей (мастеров производственного обучения) сертифицированы в качестве экспертов "Ворлдскиллс"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тысяча человек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0,087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  <w:outlineLvl w:val="2"/>
            </w:pPr>
            <w:r>
              <w:t>7.</w:t>
            </w:r>
          </w:p>
        </w:tc>
        <w:tc>
          <w:tcPr>
            <w:tcW w:w="9489" w:type="dxa"/>
            <w:gridSpan w:val="9"/>
            <w:vAlign w:val="center"/>
          </w:tcPr>
          <w:p w:rsidR="002309DA" w:rsidRDefault="002309DA">
            <w:pPr>
              <w:pStyle w:val="ConsPlusNormal"/>
            </w:pPr>
            <w: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 xml:space="preserve">Создано не менее 780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</w:t>
            </w:r>
            <w:r>
              <w:lastRenderedPageBreak/>
              <w:t>деятельность по образовательным программам дошкольного образования, для детей в возрасте до трех лет за счет средств федерального бюджета, бюджета Брянской области и местных бюджетов с учетом приоритетности региональной программы Брянской области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место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780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780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780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780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780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780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7.2.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Созданы дополнительные места,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от полутора до трех лет за счет средств федерального бюджета, бюджета Брянской области и местных бюджетов с учетом приоритетности региональной программы Брянской области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место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595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595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595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595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7.3.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>В Брянской области прошли переобучение и повышение квалификации не менее 1661 женщины, находящейся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  <w:tr w:rsidR="002309DA">
        <w:tc>
          <w:tcPr>
            <w:tcW w:w="604" w:type="dxa"/>
          </w:tcPr>
          <w:p w:rsidR="002309DA" w:rsidRDefault="002309DA">
            <w:pPr>
              <w:pStyle w:val="ConsPlusNormal"/>
              <w:jc w:val="center"/>
            </w:pPr>
            <w:r>
              <w:t>7.4.</w:t>
            </w:r>
          </w:p>
        </w:tc>
        <w:tc>
          <w:tcPr>
            <w:tcW w:w="2914" w:type="dxa"/>
          </w:tcPr>
          <w:p w:rsidR="002309DA" w:rsidRDefault="002309DA">
            <w:pPr>
              <w:pStyle w:val="ConsPlusNormal"/>
            </w:pPr>
            <w:r>
              <w:t xml:space="preserve"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</w:t>
            </w:r>
            <w:r>
              <w:lastRenderedPageBreak/>
              <w:t>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077" w:type="dxa"/>
          </w:tcPr>
          <w:p w:rsidR="002309DA" w:rsidRDefault="002309DA">
            <w:pPr>
              <w:pStyle w:val="ConsPlusNormal"/>
              <w:jc w:val="center"/>
            </w:pPr>
            <w:r>
              <w:lastRenderedPageBreak/>
              <w:t>место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  <w:vAlign w:val="center"/>
          </w:tcPr>
          <w:p w:rsidR="002309DA" w:rsidRDefault="002309D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  <w:vAlign w:val="center"/>
          </w:tcPr>
          <w:p w:rsidR="002309DA" w:rsidRDefault="002309DA">
            <w:pPr>
              <w:pStyle w:val="ConsPlusNormal"/>
            </w:pPr>
          </w:p>
        </w:tc>
      </w:tr>
    </w:tbl>
    <w:p w:rsidR="002309DA" w:rsidRDefault="002309DA" w:rsidP="00454F32">
      <w:pPr>
        <w:pStyle w:val="ConsPlusNormal"/>
      </w:pPr>
    </w:p>
    <w:sectPr w:rsidR="002309DA" w:rsidSect="00454F32">
      <w:pgSz w:w="11905" w:h="16838"/>
      <w:pgMar w:top="851" w:right="851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2101E1"/>
    <w:rsid w:val="002309DA"/>
    <w:rsid w:val="003F238A"/>
    <w:rsid w:val="004429AE"/>
    <w:rsid w:val="00454F32"/>
    <w:rsid w:val="004A367A"/>
    <w:rsid w:val="00672190"/>
    <w:rsid w:val="0068704F"/>
    <w:rsid w:val="006D2A76"/>
    <w:rsid w:val="00A647CE"/>
    <w:rsid w:val="00AD38DB"/>
    <w:rsid w:val="00B42945"/>
    <w:rsid w:val="00B674FA"/>
    <w:rsid w:val="00BC00BC"/>
    <w:rsid w:val="00CB677B"/>
    <w:rsid w:val="00D0097F"/>
    <w:rsid w:val="00D447FC"/>
    <w:rsid w:val="00E6609A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1709</Words>
  <Characters>9743</Characters>
  <Application>Microsoft Office Word</Application>
  <DocSecurity>4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2020-10-28T14:42:00Z</dcterms:created>
  <dcterms:modified xsi:type="dcterms:W3CDTF">2020-10-28T14:42:00Z</dcterms:modified>
</cp:coreProperties>
</file>